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E6" w:rsidRDefault="0076324D">
      <w:pPr>
        <w:tabs>
          <w:tab w:val="center" w:pos="4103"/>
          <w:tab w:val="right" w:pos="10184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18030" cy="950448"/>
                <wp:effectExtent l="0" t="0" r="0" b="0"/>
                <wp:docPr id="4208" name="Group 4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50448"/>
                          <a:chOff x="0" y="0"/>
                          <a:chExt cx="2018030" cy="950448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240790" y="632572"/>
                            <a:ext cx="25842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EE6" w:rsidRDefault="007632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34338" y="63257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EE6" w:rsidRDefault="007632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40790" y="7941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EE6" w:rsidRDefault="007632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935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8" style="width:158.9pt;height:74.8384pt;mso-position-horizontal-relative:char;mso-position-vertical-relative:line" coordsize="20180,9504">
                <v:rect id="Rectangle 12" style="position:absolute;width:2584;height:2079;left:12407;top:6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" style="position:absolute;width:518;height:2079;left:14343;top:6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18;height:2079;left:12407;top:7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7" style="position:absolute;width:20180;height:9353;left:0;top:0;" filled="f">
                  <v:imagedata r:id="rId6"/>
                </v:shape>
              </v:group>
            </w:pict>
          </mc:Fallback>
        </mc:AlternateContent>
      </w:r>
      <w:r>
        <w:tab/>
        <w:t xml:space="preserve">                                                     </w:t>
      </w: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1362710" cy="829056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0" w:right="1284" w:firstLine="0"/>
        <w:jc w:val="center"/>
      </w:pP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0" w:right="1284" w:firstLine="0"/>
        <w:jc w:val="center"/>
      </w:pP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2247" w:right="0"/>
        <w:jc w:val="left"/>
      </w:pPr>
      <w:r>
        <w:rPr>
          <w:b/>
        </w:rPr>
        <w:t xml:space="preserve">CÁTEDRA ALEXANDER VON HUMBOLDT </w:t>
      </w:r>
    </w:p>
    <w:p w:rsidR="004D5EE6" w:rsidRDefault="0076324D">
      <w:pPr>
        <w:spacing w:after="0" w:line="259" w:lineRule="auto"/>
        <w:ind w:left="0" w:right="1284" w:firstLine="0"/>
        <w:jc w:val="center"/>
      </w:pP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939" w:right="0"/>
        <w:jc w:val="left"/>
      </w:pPr>
      <w:r>
        <w:rPr>
          <w:b/>
        </w:rPr>
        <w:t xml:space="preserve">“LA INVESTIGACIÓN POR LA PAZ Y SU IMPACTO EN COLOMBIA” </w:t>
      </w:r>
    </w:p>
    <w:p w:rsidR="004D5EE6" w:rsidRDefault="0076324D">
      <w:pPr>
        <w:spacing w:after="0" w:line="259" w:lineRule="auto"/>
        <w:ind w:left="4055" w:right="0"/>
        <w:jc w:val="left"/>
      </w:pPr>
      <w:r>
        <w:rPr>
          <w:b/>
        </w:rPr>
        <w:t xml:space="preserve">2015-III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right="0"/>
        <w:jc w:val="left"/>
      </w:pPr>
      <w:r>
        <w:rPr>
          <w:b/>
        </w:rPr>
        <w:t xml:space="preserve">I PRESENTACIÓN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 xml:space="preserve">La Universidad Jorge Tadeo Lozano y el Instituto de Estudios Humanitarios (IEH), invitan a participar en la X versión de la Cátedra Von Humboldt, cuyo objetivo principal es el de construir un espacio de reflexión multidisciplinario sobre </w:t>
      </w:r>
      <w:r>
        <w:t xml:space="preserve">las diversas dimensiones de los asuntos humanitarios y su impacto en el mundo de hoy.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rPr>
          <w:b/>
          <w:i/>
        </w:rPr>
        <w:t>La XIII versión de la Cátedra Alexander Von Humboldt</w:t>
      </w:r>
      <w:r>
        <w:t xml:space="preserve"> tiene como propósito sensibilizar a los participantes sobre los aspectos más importantes relacionados con la inves</w:t>
      </w:r>
      <w:r>
        <w:t xml:space="preserve">tigación académica por la paz, en especial las posibilidades vinculadas con el caso colombiano. 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>La Cátedra Von Humboldt 2015-III se realiza mediante conferencias magistrales de especialistas invitados en cada uno de los temas descritos. Esta metodologí</w:t>
      </w:r>
      <w:r>
        <w:t>a se combina con la utilización de herramientas audiovisuales. Al finalizar las sesiones, los participantes deben tener una visión general de los contenidos, de modo que les permita asumir una posición y reflexión crítica frente a las dinámicas de reconstr</w:t>
      </w:r>
      <w:r>
        <w:t xml:space="preserve">ucción en entornos de </w:t>
      </w:r>
      <w:proofErr w:type="gramStart"/>
      <w:r>
        <w:t>postconflicto</w:t>
      </w:r>
      <w:proofErr w:type="gramEnd"/>
      <w:r>
        <w:t xml:space="preserve">, en especial las diversas posibilidades abiertas para Colombia. 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 xml:space="preserve">Día y hora: todos los jueves de 9:00 a 11:00 am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 xml:space="preserve">Lugar: Aula 704, Módulo 16. UJTL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 xml:space="preserve">Número de inscritos: máximo 150 estudiantes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>Docente coordina</w:t>
      </w:r>
      <w:r>
        <w:t xml:space="preserve">dor </w:t>
      </w:r>
    </w:p>
    <w:p w:rsidR="004D5EE6" w:rsidRDefault="0076324D">
      <w:pPr>
        <w:spacing w:after="0" w:line="259" w:lineRule="auto"/>
        <w:ind w:left="-5" w:right="0"/>
        <w:jc w:val="left"/>
      </w:pPr>
      <w:proofErr w:type="spellStart"/>
      <w:r>
        <w:t>Egoitz</w:t>
      </w:r>
      <w:proofErr w:type="spellEnd"/>
      <w:r>
        <w:t xml:space="preserve"> Gago Antón – </w:t>
      </w:r>
      <w:r>
        <w:rPr>
          <w:color w:val="0000FF"/>
          <w:u w:val="single" w:color="0000FF"/>
        </w:rPr>
        <w:t>egoitz.gagoa@utadeo.edu.co</w:t>
      </w:r>
      <w:r>
        <w:t xml:space="preserve">  </w:t>
      </w:r>
    </w:p>
    <w:p w:rsidR="004D5EE6" w:rsidRDefault="0076324D">
      <w:pPr>
        <w:ind w:right="1329"/>
      </w:pPr>
      <w:r>
        <w:t xml:space="preserve">Docente asociado Programa de Relaciones Internacionales, UJTL  </w:t>
      </w:r>
    </w:p>
    <w:p w:rsidR="004D5EE6" w:rsidRDefault="0076324D">
      <w:pPr>
        <w:spacing w:after="0" w:line="259" w:lineRule="auto"/>
        <w:ind w:left="-5" w:right="0"/>
        <w:jc w:val="left"/>
      </w:pPr>
      <w:r>
        <w:t xml:space="preserve">Monitor: María Camila </w:t>
      </w:r>
      <w:proofErr w:type="spellStart"/>
      <w:r>
        <w:t>Lopez</w:t>
      </w:r>
      <w:proofErr w:type="spellEnd"/>
      <w:r>
        <w:t xml:space="preserve"> – </w:t>
      </w:r>
      <w:r>
        <w:rPr>
          <w:color w:val="0000FF"/>
          <w:u w:val="single" w:color="0000FF"/>
        </w:rPr>
        <w:t>mariac.lopezg@utadeo.edu.co</w:t>
      </w:r>
      <w:r>
        <w:t xml:space="preserve"> 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0"/>
          <w:numId w:val="1"/>
        </w:numPr>
        <w:spacing w:after="0" w:line="259" w:lineRule="auto"/>
        <w:ind w:right="0" w:hanging="271"/>
        <w:jc w:val="left"/>
      </w:pPr>
      <w:r>
        <w:rPr>
          <w:b/>
        </w:rPr>
        <w:t xml:space="preserve">TEMARIO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06 de Agosto 2015. </w:t>
      </w:r>
    </w:p>
    <w:p w:rsidR="004D5EE6" w:rsidRDefault="0076324D">
      <w:pPr>
        <w:ind w:left="715" w:right="1329"/>
      </w:pPr>
      <w:r>
        <w:t xml:space="preserve">INICIO: Presentación y metodología de desarrollo de la cátedra a cargo del </w:t>
      </w:r>
    </w:p>
    <w:p w:rsidR="004D5EE6" w:rsidRDefault="0076324D">
      <w:pPr>
        <w:ind w:left="715" w:right="4117"/>
      </w:pPr>
      <w:r>
        <w:t xml:space="preserve">Programa de Relaciones Internacionales  INDUCCIÓN AVATA.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13 de Agosto 2015. </w:t>
      </w:r>
    </w:p>
    <w:p w:rsidR="004D5EE6" w:rsidRDefault="0076324D">
      <w:pPr>
        <w:ind w:left="715" w:right="1329"/>
      </w:pPr>
      <w:r>
        <w:t xml:space="preserve">Los desafíos del postconflicto en Colombia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     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20 de Agosto 2015. </w:t>
      </w:r>
    </w:p>
    <w:p w:rsidR="004D5EE6" w:rsidRDefault="0076324D">
      <w:pPr>
        <w:ind w:left="715" w:right="1329"/>
      </w:pPr>
      <w:r>
        <w:t xml:space="preserve">CINE FORO – No Hubo </w:t>
      </w:r>
      <w:r>
        <w:t xml:space="preserve">Tiempo para la Tristeza </w:t>
      </w:r>
    </w:p>
    <w:p w:rsidR="004D5EE6" w:rsidRDefault="0076324D">
      <w:pPr>
        <w:spacing w:after="0" w:line="259" w:lineRule="auto"/>
        <w:ind w:left="708" w:right="0" w:firstLine="0"/>
        <w:jc w:val="left"/>
      </w:pPr>
      <w:r>
        <w:t xml:space="preserve">      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27 de Agosto de 2015. </w:t>
      </w:r>
    </w:p>
    <w:p w:rsidR="004D5EE6" w:rsidRDefault="0076324D">
      <w:pPr>
        <w:ind w:left="715" w:right="1329"/>
      </w:pPr>
      <w:r>
        <w:t xml:space="preserve">La Cooperación Internacional y la Paz en Colombia </w:t>
      </w:r>
    </w:p>
    <w:p w:rsidR="004D5EE6" w:rsidRDefault="0076324D">
      <w:pPr>
        <w:spacing w:after="169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tabs>
          <w:tab w:val="center" w:pos="5266"/>
        </w:tabs>
        <w:spacing w:after="0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199339</wp:posOffset>
                </wp:positionH>
                <wp:positionV relativeFrom="paragraph">
                  <wp:posOffset>-108563</wp:posOffset>
                </wp:positionV>
                <wp:extent cx="6289040" cy="492760"/>
                <wp:effectExtent l="0" t="0" r="0" b="0"/>
                <wp:wrapNone/>
                <wp:docPr id="4176" name="Group 4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492760"/>
                          <a:chOff x="0" y="0"/>
                          <a:chExt cx="6289040" cy="492760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628904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40" h="492760">
                                <a:moveTo>
                                  <a:pt x="82169" y="0"/>
                                </a:moveTo>
                                <a:lnTo>
                                  <a:pt x="6206872" y="0"/>
                                </a:lnTo>
                                <a:cubicBezTo>
                                  <a:pt x="6252210" y="0"/>
                                  <a:pt x="6289040" y="36830"/>
                                  <a:pt x="6289040" y="82169"/>
                                </a:cubicBezTo>
                                <a:lnTo>
                                  <a:pt x="6289040" y="410591"/>
                                </a:lnTo>
                                <a:cubicBezTo>
                                  <a:pt x="6289040" y="456057"/>
                                  <a:pt x="6252210" y="492760"/>
                                  <a:pt x="6206872" y="492760"/>
                                </a:cubicBezTo>
                                <a:lnTo>
                                  <a:pt x="82169" y="492760"/>
                                </a:lnTo>
                                <a:cubicBezTo>
                                  <a:pt x="36830" y="492760"/>
                                  <a:pt x="0" y="456057"/>
                                  <a:pt x="0" y="410591"/>
                                </a:cubicBezTo>
                                <a:lnTo>
                                  <a:pt x="0" y="82169"/>
                                </a:lnTo>
                                <a:cubicBezTo>
                                  <a:pt x="0" y="36830"/>
                                  <a:pt x="36830" y="0"/>
                                  <a:pt x="8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628904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40" h="492760">
                                <a:moveTo>
                                  <a:pt x="0" y="82169"/>
                                </a:moveTo>
                                <a:cubicBezTo>
                                  <a:pt x="0" y="36830"/>
                                  <a:pt x="36830" y="0"/>
                                  <a:pt x="82169" y="0"/>
                                </a:cubicBezTo>
                                <a:lnTo>
                                  <a:pt x="6206872" y="0"/>
                                </a:lnTo>
                                <a:cubicBezTo>
                                  <a:pt x="6252210" y="0"/>
                                  <a:pt x="6289040" y="36830"/>
                                  <a:pt x="6289040" y="82169"/>
                                </a:cubicBezTo>
                                <a:lnTo>
                                  <a:pt x="6289040" y="410591"/>
                                </a:lnTo>
                                <a:cubicBezTo>
                                  <a:pt x="6289040" y="456057"/>
                                  <a:pt x="6252210" y="492760"/>
                                  <a:pt x="6206872" y="492760"/>
                                </a:cubicBezTo>
                                <a:lnTo>
                                  <a:pt x="82169" y="492760"/>
                                </a:lnTo>
                                <a:cubicBezTo>
                                  <a:pt x="36830" y="492760"/>
                                  <a:pt x="0" y="456057"/>
                                  <a:pt x="0" y="41059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6" style="width:495.2pt;height:38.8pt;position:absolute;z-index:-2147483516;mso-position-horizontal-relative:text;mso-position-horizontal:absolute;margin-left:15.696pt;mso-position-vertical-relative:text;margin-top:-8.54831pt;" coordsize="62890,4927">
                <v:shape id="Shape 308" style="position:absolute;width:62890;height:4927;left:0;top:0;" coordsize="6289040,492760" path="m82169,0l6206872,0c6252210,0,6289040,36830,6289040,82169l6289040,410591c6289040,456057,6252210,492760,6206872,492760l82169,492760c36830,492760,0,456057,0,410591l0,82169c0,36830,36830,0,82169,0x">
                  <v:stroke weight="0pt" endcap="flat" joinstyle="miter" miterlimit="10" on="false" color="#000000" opacity="0"/>
                  <v:fill on="true" color="#eeece1"/>
                </v:shape>
                <v:shape id="Shape 309" style="position:absolute;width:62890;height:4927;left:0;top:0;" coordsize="6289040,492760" path="m0,82169c0,36830,36830,0,82169,0l6206872,0c6252210,0,6289040,36830,6289040,82169l6289040,410591c6289040,456057,6252210,492760,6206872,492760l82169,492760c36830,492760,0,456057,0,410591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Calibri" w:eastAsia="Calibri" w:hAnsi="Calibri" w:cs="Calibri"/>
          <w:b/>
          <w:color w:val="FF0000"/>
        </w:rPr>
        <w:t xml:space="preserve">No olvide que esta semana debe presentar el primer </w:t>
      </w:r>
      <w:proofErr w:type="spellStart"/>
      <w:r>
        <w:rPr>
          <w:rFonts w:ascii="Calibri" w:eastAsia="Calibri" w:hAnsi="Calibri" w:cs="Calibri"/>
          <w:b/>
          <w:color w:val="FF0000"/>
        </w:rPr>
        <w:t>quiz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 del el aula virtual, el cual se habilitará el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tabs>
          <w:tab w:val="center" w:pos="5266"/>
        </w:tabs>
        <w:spacing w:after="223" w:line="259" w:lineRule="auto"/>
        <w:ind w:left="-15" w:right="0" w:firstLine="0"/>
        <w:jc w:val="left"/>
      </w:pPr>
      <w:r>
        <w:t xml:space="preserve"> </w:t>
      </w:r>
      <w:r>
        <w:tab/>
      </w:r>
      <w:proofErr w:type="gramStart"/>
      <w:r>
        <w:rPr>
          <w:rFonts w:ascii="Calibri" w:eastAsia="Calibri" w:hAnsi="Calibri" w:cs="Calibri"/>
          <w:b/>
          <w:color w:val="FF0000"/>
        </w:rPr>
        <w:t>viernes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28 de Agosto a las 6:00 am y </w:t>
      </w:r>
      <w:r>
        <w:rPr>
          <w:rFonts w:ascii="Calibri" w:eastAsia="Calibri" w:hAnsi="Calibri" w:cs="Calibri"/>
          <w:b/>
          <w:color w:val="FF0000"/>
        </w:rPr>
        <w:t xml:space="preserve">se cerrará el Lunes 31 de Agosto a las 12 pm.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03 de Septiembre de 2015. </w:t>
      </w:r>
    </w:p>
    <w:p w:rsidR="004D5EE6" w:rsidRDefault="0076324D">
      <w:pPr>
        <w:ind w:left="715" w:right="1329"/>
      </w:pPr>
      <w:r>
        <w:t xml:space="preserve">La paz de los pequeños nadas: Investigación en los Laboratorios de Paz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10 de Septiembre de 2015. </w:t>
      </w:r>
    </w:p>
    <w:p w:rsidR="004D5EE6" w:rsidRDefault="0076324D">
      <w:pPr>
        <w:ind w:left="715" w:right="1329"/>
      </w:pPr>
      <w:r>
        <w:t xml:space="preserve">Lecciones de </w:t>
      </w:r>
      <w:proofErr w:type="spellStart"/>
      <w:r>
        <w:t>Centroamerica</w:t>
      </w:r>
      <w:proofErr w:type="spellEnd"/>
      <w:r>
        <w:t xml:space="preserve"> para Colombia </w:t>
      </w:r>
    </w:p>
    <w:p w:rsidR="004D5EE6" w:rsidRDefault="0076324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17 de Septiembre 2015. </w:t>
      </w:r>
    </w:p>
    <w:p w:rsidR="004D5EE6" w:rsidRDefault="0076324D">
      <w:pPr>
        <w:ind w:left="715" w:right="1329"/>
      </w:pPr>
      <w:r>
        <w:t xml:space="preserve">La Comunidad Internacional y el proceso de Paz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24 de Septiembre 2015. </w:t>
      </w:r>
    </w:p>
    <w:p w:rsidR="004D5EE6" w:rsidRDefault="0076324D">
      <w:pPr>
        <w:spacing w:after="0" w:line="259" w:lineRule="auto"/>
        <w:ind w:left="730" w:right="0"/>
        <w:jc w:val="left"/>
      </w:pPr>
      <w:r>
        <w:rPr>
          <w:b/>
          <w:color w:val="FF0000"/>
        </w:rPr>
        <w:t xml:space="preserve">PARCIAL 1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08 de Octubre 2015. </w:t>
      </w:r>
    </w:p>
    <w:p w:rsidR="004D5EE6" w:rsidRDefault="0076324D">
      <w:pPr>
        <w:ind w:left="715" w:right="1329"/>
      </w:pPr>
      <w:r>
        <w:t xml:space="preserve">Acción Social en entornos de conflicto </w:t>
      </w:r>
    </w:p>
    <w:p w:rsidR="004D5EE6" w:rsidRDefault="0076324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15 de Octubre 2015. </w:t>
      </w:r>
    </w:p>
    <w:p w:rsidR="004D5EE6" w:rsidRDefault="0076324D">
      <w:pPr>
        <w:ind w:left="715" w:right="1329"/>
      </w:pPr>
      <w:r>
        <w:t xml:space="preserve">La arquitectura de la violencia y la seguridad en América Latina </w:t>
      </w:r>
    </w:p>
    <w:p w:rsidR="004D5EE6" w:rsidRDefault="007632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5EE6" w:rsidRDefault="007632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5EE6" w:rsidRDefault="0076324D">
      <w:pPr>
        <w:spacing w:after="53" w:line="336" w:lineRule="auto"/>
        <w:ind w:left="387" w:right="92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201244</wp:posOffset>
                </wp:positionH>
                <wp:positionV relativeFrom="paragraph">
                  <wp:posOffset>-110480</wp:posOffset>
                </wp:positionV>
                <wp:extent cx="6289040" cy="492760"/>
                <wp:effectExtent l="0" t="0" r="0" b="0"/>
                <wp:wrapNone/>
                <wp:docPr id="4178" name="Group 4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492760"/>
                          <a:chOff x="0" y="0"/>
                          <a:chExt cx="6289040" cy="492760"/>
                        </a:xfrm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628904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40" h="492760">
                                <a:moveTo>
                                  <a:pt x="82169" y="0"/>
                                </a:moveTo>
                                <a:lnTo>
                                  <a:pt x="6206871" y="0"/>
                                </a:lnTo>
                                <a:cubicBezTo>
                                  <a:pt x="6252210" y="0"/>
                                  <a:pt x="6289040" y="36703"/>
                                  <a:pt x="6289040" y="82042"/>
                                </a:cubicBezTo>
                                <a:lnTo>
                                  <a:pt x="6289040" y="410590"/>
                                </a:lnTo>
                                <a:cubicBezTo>
                                  <a:pt x="6289040" y="455930"/>
                                  <a:pt x="6252210" y="492760"/>
                                  <a:pt x="6206871" y="492760"/>
                                </a:cubicBezTo>
                                <a:lnTo>
                                  <a:pt x="82169" y="492760"/>
                                </a:lnTo>
                                <a:cubicBezTo>
                                  <a:pt x="36830" y="492760"/>
                                  <a:pt x="0" y="455930"/>
                                  <a:pt x="0" y="410590"/>
                                </a:cubicBezTo>
                                <a:lnTo>
                                  <a:pt x="0" y="82042"/>
                                </a:lnTo>
                                <a:cubicBezTo>
                                  <a:pt x="0" y="36703"/>
                                  <a:pt x="36830" y="0"/>
                                  <a:pt x="82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628904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040" h="492760">
                                <a:moveTo>
                                  <a:pt x="0" y="82042"/>
                                </a:moveTo>
                                <a:cubicBezTo>
                                  <a:pt x="0" y="36703"/>
                                  <a:pt x="36830" y="0"/>
                                  <a:pt x="82169" y="0"/>
                                </a:cubicBezTo>
                                <a:lnTo>
                                  <a:pt x="6206871" y="0"/>
                                </a:lnTo>
                                <a:cubicBezTo>
                                  <a:pt x="6252210" y="0"/>
                                  <a:pt x="6289040" y="36703"/>
                                  <a:pt x="6289040" y="82042"/>
                                </a:cubicBezTo>
                                <a:lnTo>
                                  <a:pt x="6289040" y="410590"/>
                                </a:lnTo>
                                <a:cubicBezTo>
                                  <a:pt x="6289040" y="455930"/>
                                  <a:pt x="6252210" y="492760"/>
                                  <a:pt x="6206871" y="492760"/>
                                </a:cubicBezTo>
                                <a:lnTo>
                                  <a:pt x="82169" y="492760"/>
                                </a:lnTo>
                                <a:cubicBezTo>
                                  <a:pt x="36830" y="492760"/>
                                  <a:pt x="0" y="455930"/>
                                  <a:pt x="0" y="41059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8" style="width:495.2pt;height:38.8pt;position:absolute;z-index:-2147483498;mso-position-horizontal-relative:text;mso-position-horizontal:absolute;margin-left:15.846pt;mso-position-vertical-relative:text;margin-top:-8.69928pt;" coordsize="62890,4927">
                <v:shape id="Shape 326" style="position:absolute;width:62890;height:4927;left:0;top:0;" coordsize="6289040,492760" path="m82169,0l6206871,0c6252210,0,6289040,36703,6289040,82042l6289040,410590c6289040,455930,6252210,492760,6206871,492760l82169,492760c36830,492760,0,455930,0,410590l0,82042c0,36703,36830,0,82169,0x">
                  <v:stroke weight="0pt" endcap="flat" joinstyle="round" on="false" color="#000000" opacity="0"/>
                  <v:fill on="true" color="#eeece1"/>
                </v:shape>
                <v:shape id="Shape 327" style="position:absolute;width:62890;height:4927;left:0;top:0;" coordsize="6289040,492760" path="m0,82042c0,36703,36830,0,82169,0l6206871,0c6252210,0,6289040,36703,6289040,82042l6289040,410590c6289040,455930,6252210,492760,6206871,492760l82169,492760c36830,492760,0,455930,0,410590x">
                  <v:stroke weight="2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No olvide que esta semana debe presentar el segundo </w:t>
      </w:r>
      <w:proofErr w:type="spellStart"/>
      <w:r>
        <w:rPr>
          <w:rFonts w:ascii="Calibri" w:eastAsia="Calibri" w:hAnsi="Calibri" w:cs="Calibri"/>
          <w:b/>
          <w:color w:val="FF0000"/>
        </w:rPr>
        <w:t>quiz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 del aula virtual, el cual se habilitará el </w:t>
      </w:r>
      <w:r>
        <w:t xml:space="preserve"> </w:t>
      </w:r>
      <w:r>
        <w:tab/>
      </w:r>
      <w:r>
        <w:rPr>
          <w:rFonts w:ascii="Calibri" w:eastAsia="Calibri" w:hAnsi="Calibri" w:cs="Calibri"/>
          <w:b/>
          <w:color w:val="FF0000"/>
        </w:rPr>
        <w:t xml:space="preserve">viernes 16 de Octubre a las 6:00 am y se cerrará el lunes 19 de octubre a las 12 pm. </w:t>
      </w:r>
    </w:p>
    <w:p w:rsidR="004D5EE6" w:rsidRDefault="007632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22 de Octubre de 2015. </w:t>
      </w:r>
    </w:p>
    <w:p w:rsidR="004D5EE6" w:rsidRDefault="0076324D">
      <w:pPr>
        <w:ind w:left="715" w:right="1329"/>
      </w:pPr>
      <w:r>
        <w:lastRenderedPageBreak/>
        <w:t xml:space="preserve">Violencia y aparato militar del Estado </w:t>
      </w:r>
    </w:p>
    <w:p w:rsidR="004D5EE6" w:rsidRDefault="007632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29 de Octubre de 2015. </w:t>
      </w:r>
    </w:p>
    <w:p w:rsidR="004D5EE6" w:rsidRDefault="0076324D">
      <w:pPr>
        <w:ind w:left="715" w:right="1329"/>
      </w:pPr>
      <w:r>
        <w:t xml:space="preserve">El estado del arte de la investigación por la paz en Colombia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05 de Noviembre de 2015. </w:t>
      </w:r>
    </w:p>
    <w:p w:rsidR="004D5EE6" w:rsidRDefault="0076324D">
      <w:pPr>
        <w:ind w:left="715" w:right="1329"/>
      </w:pPr>
      <w:r>
        <w:t xml:space="preserve">Negociación sin solución, una perspectiva sobre los procesos de acuerdo en Colombia </w:t>
      </w:r>
    </w:p>
    <w:p w:rsidR="004D5EE6" w:rsidRDefault="0076324D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12 de Noviembre de 2015. </w:t>
      </w:r>
    </w:p>
    <w:p w:rsidR="004D5EE6" w:rsidRDefault="0076324D">
      <w:pPr>
        <w:ind w:left="715" w:right="1329"/>
      </w:pPr>
      <w:r>
        <w:t xml:space="preserve">Estudios de Paz vs Estudios </w:t>
      </w:r>
      <w:r>
        <w:t xml:space="preserve">de Conflicto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19 de Noviembre de 2015. </w:t>
      </w:r>
    </w:p>
    <w:p w:rsidR="004D5EE6" w:rsidRDefault="0076324D">
      <w:pPr>
        <w:ind w:left="715" w:right="1329"/>
      </w:pPr>
      <w:r>
        <w:t xml:space="preserve">El actual proceso de paz en la academia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26 de Noviembre de 2015. 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</w:t>
      </w:r>
    </w:p>
    <w:p w:rsidR="004D5EE6" w:rsidRDefault="0076324D">
      <w:pPr>
        <w:spacing w:after="0" w:line="259" w:lineRule="auto"/>
        <w:ind w:left="-5" w:right="0"/>
        <w:jc w:val="left"/>
      </w:pPr>
      <w:r>
        <w:rPr>
          <w:b/>
          <w:color w:val="FF0000"/>
        </w:rPr>
        <w:t xml:space="preserve">      EXAMEN FINAL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0"/>
          <w:numId w:val="1"/>
        </w:numPr>
        <w:spacing w:after="0" w:line="259" w:lineRule="auto"/>
        <w:ind w:right="0" w:hanging="271"/>
        <w:jc w:val="left"/>
      </w:pPr>
      <w:r>
        <w:rPr>
          <w:b/>
        </w:rPr>
        <w:t xml:space="preserve">CRITERIOS DE EVALUACIÓN PARA LOS ESTUDIANTES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ind w:right="1329"/>
      </w:pPr>
      <w:r>
        <w:t xml:space="preserve">Para cada sesión se establecen lecturas obligatorias que el estudiante debe preparar para la clase y que además son tenidas en cuenta en los  </w:t>
      </w:r>
      <w:proofErr w:type="spellStart"/>
      <w:r>
        <w:t>quizes</w:t>
      </w:r>
      <w:proofErr w:type="spellEnd"/>
      <w:r>
        <w:t xml:space="preserve"> semanales y en los parciales. Estos documentos se encuentran disponibles en versión digital y pueden ser co</w:t>
      </w:r>
      <w:r>
        <w:t xml:space="preserve">nsultados en el portal AVATA. 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rPr>
          <w:b/>
        </w:rPr>
        <w:t>QUIZES</w:t>
      </w:r>
      <w:r>
        <w:t xml:space="preserve">: Los </w:t>
      </w:r>
      <w:proofErr w:type="spellStart"/>
      <w:r>
        <w:t>quizes</w:t>
      </w:r>
      <w:proofErr w:type="spellEnd"/>
      <w:r>
        <w:t xml:space="preserve"> se adelantan de dos maneras: </w:t>
      </w:r>
    </w:p>
    <w:p w:rsidR="004D5EE6" w:rsidRDefault="0076324D">
      <w:pPr>
        <w:spacing w:after="17" w:line="259" w:lineRule="auto"/>
        <w:ind w:left="720" w:right="0" w:firstLine="0"/>
        <w:jc w:val="left"/>
      </w:pPr>
      <w:r>
        <w:t xml:space="preserve"> </w:t>
      </w:r>
    </w:p>
    <w:p w:rsidR="004D5EE6" w:rsidRDefault="0076324D">
      <w:pPr>
        <w:numPr>
          <w:ilvl w:val="2"/>
          <w:numId w:val="1"/>
        </w:numPr>
        <w:spacing w:after="223"/>
        <w:ind w:right="1336" w:hanging="360"/>
      </w:pPr>
      <w:r>
        <w:t xml:space="preserve">Al finalizar cada sesión se realiza un </w:t>
      </w:r>
      <w:proofErr w:type="spellStart"/>
      <w:r>
        <w:t>quiz</w:t>
      </w:r>
      <w:proofErr w:type="spellEnd"/>
      <w:r>
        <w:t xml:space="preserve"> con preguntas de la conferencia y de la lectura de la semana. Para ello, se seleccionan 6 estudiantes de la lista oficial de </w:t>
      </w:r>
      <w:r>
        <w:t xml:space="preserve">la clase. Este </w:t>
      </w:r>
      <w:proofErr w:type="spellStart"/>
      <w:r>
        <w:t>quiz</w:t>
      </w:r>
      <w:proofErr w:type="spellEnd"/>
      <w:r>
        <w:t xml:space="preserve"> es evaluado con una nota de 0.0 a 5.0.  </w:t>
      </w:r>
    </w:p>
    <w:p w:rsidR="004D5EE6" w:rsidRDefault="0076324D">
      <w:pPr>
        <w:spacing w:after="225"/>
        <w:ind w:left="715" w:right="1329"/>
      </w:pPr>
      <w:r>
        <w:rPr>
          <w:b/>
        </w:rPr>
        <w:t>Nota:</w:t>
      </w:r>
      <w:r>
        <w:t xml:space="preserve"> Un estudiante puede ser seleccionado por más de una vez durante el semestre. </w:t>
      </w:r>
    </w:p>
    <w:p w:rsidR="004D5EE6" w:rsidRDefault="0076324D">
      <w:pPr>
        <w:numPr>
          <w:ilvl w:val="2"/>
          <w:numId w:val="1"/>
        </w:numPr>
        <w:spacing w:after="0" w:line="275" w:lineRule="auto"/>
        <w:ind w:right="1336" w:hanging="360"/>
      </w:pPr>
      <w:r>
        <w:t xml:space="preserve">Se realiza un segundo </w:t>
      </w:r>
      <w:proofErr w:type="spellStart"/>
      <w:r>
        <w:t>quiz</w:t>
      </w:r>
      <w:proofErr w:type="spellEnd"/>
      <w:r>
        <w:t xml:space="preserve"> cada tres o cuatro sesiones, el cual tiene en cuenta las conferencias y las lecturas</w:t>
      </w:r>
      <w:r>
        <w:t xml:space="preserve"> correspondientes</w:t>
      </w:r>
      <w:r>
        <w:rPr>
          <w:b/>
          <w:i/>
          <w:color w:val="FF0000"/>
        </w:rPr>
        <w:t xml:space="preserve">. Este </w:t>
      </w:r>
      <w:proofErr w:type="spellStart"/>
      <w:r>
        <w:rPr>
          <w:b/>
          <w:i/>
          <w:color w:val="FF0000"/>
        </w:rPr>
        <w:t>quiz</w:t>
      </w:r>
      <w:proofErr w:type="spellEnd"/>
      <w:r>
        <w:rPr>
          <w:b/>
          <w:i/>
          <w:color w:val="FF0000"/>
        </w:rPr>
        <w:t xml:space="preserve"> se presenta a través del aula virtual y se habilita un día después de la tercera charla (viernes), a partir de las 6:00 am y se cierra al tercer día (domingo), a las 12:00 de la noche. 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rPr>
          <w:b/>
        </w:rPr>
        <w:t xml:space="preserve">PARCIALES. </w:t>
      </w:r>
      <w:r>
        <w:t>Durante el semestre se realiz</w:t>
      </w:r>
      <w:r>
        <w:t>an dos parciales que recogen las lecturas y las charlas de las sesiones.</w:t>
      </w:r>
      <w:r>
        <w:rPr>
          <w:b/>
        </w:rPr>
        <w:t xml:space="preserve"> </w:t>
      </w:r>
      <w:r>
        <w:t xml:space="preserve">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numPr>
          <w:ilvl w:val="0"/>
          <w:numId w:val="1"/>
        </w:numPr>
        <w:spacing w:after="0" w:line="259" w:lineRule="auto"/>
        <w:ind w:right="0" w:hanging="271"/>
        <w:jc w:val="left"/>
      </w:pPr>
      <w:r>
        <w:rPr>
          <w:b/>
        </w:rPr>
        <w:t xml:space="preserve">REGLAS DE COMPORTAMIENTO EN LA CÁTEDRA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Una vez comienza la clase no es permitido entrar y salir de ella.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>No se permite el uso de celulares y el uso de computadores se restring</w:t>
      </w:r>
      <w:r>
        <w:t xml:space="preserve">e a las notas y ejercicios de clase.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lastRenderedPageBreak/>
        <w:t xml:space="preserve">El ingreso al AVATA es obligatorio. En la mayoría de los casos, las evaluaciones se realizan a través de esta plataforma.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Las inquietudes sobre la clase son despejadas a través del correo interno del AVATA.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>Después d</w:t>
      </w:r>
      <w:r>
        <w:t xml:space="preserve">e las fechas programadas, no se habilita el aula virtual para presentación de </w:t>
      </w:r>
      <w:proofErr w:type="spellStart"/>
      <w:r>
        <w:t>quizes</w:t>
      </w:r>
      <w:proofErr w:type="spellEnd"/>
      <w:r>
        <w:t xml:space="preserve">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No se reciben trabajos y/o actividades por fuera de la programación.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Se trata de una asignatura presencial y las fallas por inasistencia a la clase no se eliminan bajo </w:t>
      </w:r>
      <w:r>
        <w:t xml:space="preserve">ninguna condición.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El estudiante reprueba la asignatura de acuerdo con las inasistencias contempladas en el reglamento estudiantil.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Solo se realiza un </w:t>
      </w:r>
      <w:proofErr w:type="spellStart"/>
      <w:r>
        <w:t>quiz</w:t>
      </w:r>
      <w:proofErr w:type="spellEnd"/>
      <w:r>
        <w:t xml:space="preserve"> o un parcial por fuera de la fecha estipulada bajo los casos que establece el reglamento estudiant</w:t>
      </w:r>
      <w:r>
        <w:t xml:space="preserve">il y los procedimientos establecidos por la Universidad. </w:t>
      </w:r>
    </w:p>
    <w:p w:rsidR="004D5EE6" w:rsidRDefault="0076324D">
      <w:pPr>
        <w:numPr>
          <w:ilvl w:val="1"/>
          <w:numId w:val="1"/>
        </w:numPr>
        <w:ind w:right="0" w:hanging="360"/>
        <w:jc w:val="left"/>
      </w:pPr>
      <w:r>
        <w:t xml:space="preserve">La revisión de evaluaciones se adelanta de acuerdo con lo establecido en el reglamento estudiantil. </w:t>
      </w:r>
    </w:p>
    <w:p w:rsidR="004D5EE6" w:rsidRDefault="0076324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D5EE6">
      <w:pgSz w:w="12240" w:h="15840"/>
      <w:pgMar w:top="662" w:right="354" w:bottom="146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8B0"/>
    <w:multiLevelType w:val="hybridMultilevel"/>
    <w:tmpl w:val="59F0A7EA"/>
    <w:lvl w:ilvl="0" w:tplc="37C03C1C">
      <w:start w:val="2"/>
      <w:numFmt w:val="upperRoman"/>
      <w:lvlText w:val="%1"/>
      <w:lvlJc w:val="left"/>
      <w:pPr>
        <w:ind w:left="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A54F4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C1B18">
      <w:start w:val="1"/>
      <w:numFmt w:val="bullet"/>
      <w:lvlText w:val="-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8246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AFFF6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C4C4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6921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A2AB2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4CF6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6"/>
    <w:rsid w:val="004D5EE6"/>
    <w:rsid w:val="007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9D936E-5530-40AA-8A95-DDDEE67D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134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Hugo Maldonado Gomez</dc:creator>
  <cp:keywords/>
  <cp:lastModifiedBy>Juan Camilo Jaramillo Matallana</cp:lastModifiedBy>
  <cp:revision>2</cp:revision>
  <dcterms:created xsi:type="dcterms:W3CDTF">2015-10-28T20:18:00Z</dcterms:created>
  <dcterms:modified xsi:type="dcterms:W3CDTF">2015-10-28T20:18:00Z</dcterms:modified>
</cp:coreProperties>
</file>